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6122026_080656.xml.htm"/>
      <w:bookmarkStart w:id="1" w:name="ksform4a06122026_0806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Jain Rita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10770 WATERIDGE CIRCLE, SUITE 210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Tracks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17.81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1 share of the Issuer's Common Stock upon settlement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vests as to 100% of the total RSUs on the date of the Issuer's 2027 annual meeting of shareholders,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 vests as to 1/12 of the total shares monthly commencing on June 12, 2026 until fully vested,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amended Form 4, as originally filed on May 14, 2026, is being filed to correct the amount of stock options and RSUs granted to the Reporting Person. This Form 4 amendment updates both equity awards to reflect 7,000 stock options and 2,500 RSUs originally granted to the Reporting Person on May 12,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Ajim Tamboli,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7797" TargetMode="External"/><Relationship Id="rId5" Type="http://schemas.openxmlformats.org/officeDocument/2006/relationships/hyperlink" Target="http://www.sec.gov/cgi-bin/browse-edgar?action=getcompany&amp;CIK=00020913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735</Words>
  <Characters>3892</Characters>
  <CharactersWithSpaces>4554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